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AD7547" w:rsidRPr="00BE67B5" w:rsidRDefault="00AD7547">
      <w:pPr>
        <w:rPr>
          <w:rFonts w:cs="Times New Roman"/>
          <w:szCs w:val="24"/>
        </w:rPr>
      </w:pPr>
    </w:p>
    <w:p w:rsidR="00B5218E" w:rsidRPr="00BE67B5" w:rsidRDefault="00B5218E">
      <w:pPr>
        <w:rPr>
          <w:rFonts w:cs="Times New Roman"/>
          <w:szCs w:val="24"/>
        </w:rPr>
      </w:pPr>
    </w:p>
    <w:p w:rsidR="00B5218E" w:rsidRPr="00BE67B5" w:rsidRDefault="00B5218E">
      <w:pPr>
        <w:rPr>
          <w:rFonts w:cs="Times New Roman"/>
          <w:szCs w:val="24"/>
        </w:rPr>
      </w:pPr>
    </w:p>
    <w:p w:rsidR="00B5218E" w:rsidRPr="00BE67B5" w:rsidRDefault="00B5218E">
      <w:pPr>
        <w:rPr>
          <w:rFonts w:cs="Times New Roman"/>
          <w:b/>
          <w:szCs w:val="24"/>
        </w:rPr>
      </w:pPr>
    </w:p>
    <w:p w:rsidR="00B5218E" w:rsidRPr="00BE67B5" w:rsidRDefault="00122F4F">
      <w:pPr>
        <w:rPr>
          <w:rFonts w:cs="Times New Roman"/>
          <w:b/>
          <w:szCs w:val="24"/>
        </w:rPr>
      </w:pPr>
      <w:r w:rsidRPr="00BE67B5">
        <w:rPr>
          <w:rFonts w:cs="Times New Roman"/>
          <w:b/>
          <w:szCs w:val="24"/>
        </w:rPr>
        <w:t>Prisoner Recidivism</w:t>
      </w:r>
    </w:p>
    <w:p w:rsidR="00B5218E" w:rsidRPr="00BE67B5" w:rsidRDefault="00B5218E">
      <w:pPr>
        <w:rPr>
          <w:rFonts w:cs="Times New Roman"/>
          <w:szCs w:val="24"/>
        </w:rPr>
      </w:pPr>
    </w:p>
    <w:p w:rsidR="00B5218E" w:rsidRPr="00BE67B5" w:rsidRDefault="00B5218E">
      <w:pPr>
        <w:rPr>
          <w:rFonts w:cs="Times New Roman"/>
          <w:szCs w:val="24"/>
        </w:rPr>
      </w:pPr>
    </w:p>
    <w:p w:rsidR="00B5218E" w:rsidRPr="00BE67B5" w:rsidRDefault="00122F4F">
      <w:pPr>
        <w:rPr>
          <w:rFonts w:cs="Times New Roman"/>
          <w:szCs w:val="24"/>
        </w:rPr>
      </w:pPr>
      <w:r w:rsidRPr="00BE67B5">
        <w:rPr>
          <w:rFonts w:cs="Times New Roman"/>
          <w:szCs w:val="24"/>
        </w:rPr>
        <w:t>Name</w:t>
      </w:r>
    </w:p>
    <w:p w:rsidR="00B5218E" w:rsidRPr="00BE67B5" w:rsidRDefault="00122F4F">
      <w:pPr>
        <w:rPr>
          <w:rFonts w:cs="Times New Roman"/>
          <w:szCs w:val="24"/>
        </w:rPr>
      </w:pPr>
      <w:r w:rsidRPr="00BE67B5">
        <w:rPr>
          <w:rFonts w:cs="Times New Roman"/>
          <w:szCs w:val="24"/>
        </w:rPr>
        <w:t>Affiliation</w:t>
      </w:r>
    </w:p>
    <w:p w:rsidR="00B5218E" w:rsidRPr="00BE67B5" w:rsidRDefault="00122F4F">
      <w:pPr>
        <w:rPr>
          <w:rFonts w:cs="Times New Roman"/>
          <w:szCs w:val="24"/>
        </w:rPr>
      </w:pPr>
      <w:r w:rsidRPr="00BE67B5">
        <w:rPr>
          <w:rFonts w:cs="Times New Roman"/>
          <w:szCs w:val="24"/>
        </w:rPr>
        <w:t>Date</w:t>
      </w:r>
    </w:p>
    <w:p w:rsidR="00B5218E" w:rsidRPr="00BE67B5" w:rsidRDefault="00B5218E">
      <w:pPr>
        <w:rPr>
          <w:rFonts w:cs="Times New Roman"/>
          <w:szCs w:val="24"/>
        </w:rPr>
      </w:pPr>
    </w:p>
    <w:p w:rsidR="00B5218E" w:rsidRPr="00BE67B5" w:rsidRDefault="00B5218E">
      <w:pPr>
        <w:rPr>
          <w:rFonts w:cs="Times New Roman"/>
          <w:szCs w:val="24"/>
        </w:rPr>
      </w:pPr>
    </w:p>
    <w:p w:rsidR="00B5218E" w:rsidRPr="00BE67B5" w:rsidRDefault="00B5218E">
      <w:pPr>
        <w:rPr>
          <w:rFonts w:cs="Times New Roman"/>
          <w:szCs w:val="24"/>
        </w:rPr>
      </w:pPr>
    </w:p>
    <w:p w:rsidR="00B5218E" w:rsidRPr="00BE67B5" w:rsidRDefault="00B5218E">
      <w:pPr>
        <w:rPr>
          <w:rFonts w:cs="Times New Roman"/>
          <w:szCs w:val="24"/>
        </w:rPr>
      </w:pPr>
    </w:p>
    <w:p w:rsidR="00B5218E" w:rsidRPr="00BE67B5" w:rsidRDefault="00B5218E">
      <w:pPr>
        <w:rPr>
          <w:rFonts w:cs="Times New Roman"/>
          <w:szCs w:val="24"/>
        </w:rPr>
      </w:pPr>
    </w:p>
    <w:p w:rsidR="00B5218E" w:rsidRPr="00BE67B5" w:rsidRDefault="00B5218E">
      <w:pPr>
        <w:rPr>
          <w:rFonts w:cs="Times New Roman"/>
          <w:szCs w:val="24"/>
        </w:rPr>
      </w:pPr>
    </w:p>
    <w:p w:rsidR="00B5218E" w:rsidRPr="00BE67B5" w:rsidRDefault="00B5218E">
      <w:pPr>
        <w:rPr>
          <w:rFonts w:cs="Times New Roman"/>
          <w:szCs w:val="24"/>
        </w:rPr>
      </w:pPr>
    </w:p>
    <w:p w:rsidR="00B5218E" w:rsidRPr="00BE67B5" w:rsidRDefault="00B5218E">
      <w:pPr>
        <w:rPr>
          <w:rFonts w:cs="Times New Roman"/>
          <w:szCs w:val="24"/>
        </w:rPr>
      </w:pPr>
    </w:p>
    <w:p w:rsidR="00B5218E" w:rsidRPr="00BE67B5" w:rsidRDefault="00122F4F" w:rsidP="00B5218E">
      <w:pPr>
        <w:rPr>
          <w:rFonts w:cs="Times New Roman"/>
          <w:b/>
          <w:szCs w:val="24"/>
        </w:rPr>
      </w:pPr>
      <w:r w:rsidRPr="00BE67B5">
        <w:rPr>
          <w:rFonts w:cs="Times New Roman"/>
          <w:b/>
          <w:szCs w:val="24"/>
        </w:rPr>
        <w:t>Prisoner Recidivism</w:t>
      </w:r>
    </w:p>
    <w:p w:rsidR="00B5218E" w:rsidRPr="00BE67B5" w:rsidRDefault="00122F4F" w:rsidP="00B5218E">
      <w:pPr>
        <w:ind w:firstLine="0"/>
        <w:jc w:val="left"/>
        <w:rPr>
          <w:rFonts w:cs="Times New Roman"/>
          <w:szCs w:val="24"/>
        </w:rPr>
      </w:pPr>
      <w:r w:rsidRPr="00BE67B5">
        <w:rPr>
          <w:rFonts w:cs="Times New Roman"/>
          <w:szCs w:val="24"/>
        </w:rPr>
        <w:tab/>
        <w:t xml:space="preserve">The special </w:t>
      </w:r>
      <w:r w:rsidR="00EF2E89" w:rsidRPr="00BE67B5">
        <w:rPr>
          <w:rFonts w:cs="Times New Roman"/>
          <w:szCs w:val="24"/>
        </w:rPr>
        <w:t>report of</w:t>
      </w:r>
      <w:r w:rsidR="00756A35" w:rsidRPr="00BE67B5">
        <w:rPr>
          <w:rFonts w:cs="Times New Roman"/>
          <w:szCs w:val="24"/>
        </w:rPr>
        <w:t xml:space="preserve"> 2018 update on</w:t>
      </w:r>
      <w:r w:rsidR="00EF2E89" w:rsidRPr="00BE67B5">
        <w:rPr>
          <w:rFonts w:cs="Times New Roman"/>
          <w:szCs w:val="24"/>
        </w:rPr>
        <w:t xml:space="preserve"> prisoner</w:t>
      </w:r>
      <w:r w:rsidR="00756A35" w:rsidRPr="00BE67B5">
        <w:rPr>
          <w:rFonts w:cs="Times New Roman"/>
          <w:szCs w:val="24"/>
        </w:rPr>
        <w:t xml:space="preserve"> recidivism provides much insight about 2005 to 2014 follow up </w:t>
      </w:r>
      <w:r w:rsidR="00EF2E89" w:rsidRPr="00BE67B5">
        <w:rPr>
          <w:rFonts w:cs="Times New Roman"/>
          <w:szCs w:val="24"/>
        </w:rPr>
        <w:t>period. Measuring</w:t>
      </w:r>
      <w:r w:rsidR="00756A35" w:rsidRPr="00BE67B5">
        <w:rPr>
          <w:rFonts w:cs="Times New Roman"/>
          <w:szCs w:val="24"/>
        </w:rPr>
        <w:t xml:space="preserve"> recidivism in the study utilized four outcome measures to examine several </w:t>
      </w:r>
      <w:r w:rsidR="00EF2E89" w:rsidRPr="00BE67B5">
        <w:rPr>
          <w:rFonts w:cs="Times New Roman"/>
          <w:szCs w:val="24"/>
        </w:rPr>
        <w:t>patterns of</w:t>
      </w:r>
      <w:r w:rsidR="00756A35" w:rsidRPr="00BE67B5">
        <w:rPr>
          <w:rFonts w:cs="Times New Roman"/>
          <w:szCs w:val="24"/>
        </w:rPr>
        <w:t xml:space="preserve"> former state </w:t>
      </w:r>
      <w:r w:rsidR="00EF2E89" w:rsidRPr="00BE67B5">
        <w:rPr>
          <w:rFonts w:cs="Times New Roman"/>
          <w:szCs w:val="24"/>
        </w:rPr>
        <w:t>prisoners. They</w:t>
      </w:r>
      <w:r w:rsidR="00756A35" w:rsidRPr="00BE67B5">
        <w:rPr>
          <w:rFonts w:cs="Times New Roman"/>
          <w:szCs w:val="24"/>
        </w:rPr>
        <w:t xml:space="preserve"> include the release </w:t>
      </w:r>
      <w:r w:rsidR="00EF2E89" w:rsidRPr="00BE67B5">
        <w:rPr>
          <w:rFonts w:cs="Times New Roman"/>
          <w:szCs w:val="24"/>
        </w:rPr>
        <w:t>date, the</w:t>
      </w:r>
      <w:r w:rsidR="00756A35" w:rsidRPr="00BE67B5">
        <w:rPr>
          <w:rFonts w:cs="Times New Roman"/>
          <w:szCs w:val="24"/>
        </w:rPr>
        <w:t xml:space="preserve"> failure to follow the release date, and the follow-up </w:t>
      </w:r>
      <w:r w:rsidR="00EF2E89" w:rsidRPr="00BE67B5">
        <w:rPr>
          <w:rFonts w:cs="Times New Roman"/>
          <w:szCs w:val="24"/>
        </w:rPr>
        <w:t>period. The</w:t>
      </w:r>
      <w:r w:rsidR="00756A35" w:rsidRPr="00BE67B5">
        <w:rPr>
          <w:rFonts w:cs="Times New Roman"/>
          <w:szCs w:val="24"/>
        </w:rPr>
        <w:t xml:space="preserve"> desistance measures and </w:t>
      </w:r>
      <w:r w:rsidR="00EF2E89" w:rsidRPr="00BE67B5">
        <w:rPr>
          <w:rFonts w:cs="Times New Roman"/>
          <w:szCs w:val="24"/>
        </w:rPr>
        <w:t>recidivism</w:t>
      </w:r>
      <w:r w:rsidR="00756A35" w:rsidRPr="00BE67B5">
        <w:rPr>
          <w:rFonts w:cs="Times New Roman"/>
          <w:szCs w:val="24"/>
        </w:rPr>
        <w:t xml:space="preserve"> provides crucial </w:t>
      </w:r>
      <w:r w:rsidR="00EF2E89" w:rsidRPr="00BE67B5">
        <w:rPr>
          <w:rFonts w:cs="Times New Roman"/>
          <w:szCs w:val="24"/>
        </w:rPr>
        <w:t>information regarding</w:t>
      </w:r>
      <w:r w:rsidR="00756A35" w:rsidRPr="00BE67B5">
        <w:rPr>
          <w:rFonts w:cs="Times New Roman"/>
          <w:szCs w:val="24"/>
        </w:rPr>
        <w:t xml:space="preserve"> the administration </w:t>
      </w:r>
      <w:r w:rsidR="00D954B1" w:rsidRPr="00BE67B5">
        <w:rPr>
          <w:rFonts w:cs="Times New Roman"/>
          <w:szCs w:val="24"/>
        </w:rPr>
        <w:t xml:space="preserve">of justice and criminal behavior in massive policy </w:t>
      </w:r>
      <w:r w:rsidR="00EF2E89" w:rsidRPr="00BE67B5">
        <w:rPr>
          <w:rFonts w:cs="Times New Roman"/>
          <w:szCs w:val="24"/>
        </w:rPr>
        <w:t>areas. They</w:t>
      </w:r>
      <w:r w:rsidR="00D954B1" w:rsidRPr="00BE67B5">
        <w:rPr>
          <w:rFonts w:cs="Times New Roman"/>
          <w:szCs w:val="24"/>
        </w:rPr>
        <w:t xml:space="preserve"> also provide statistics on the annual volumes of </w:t>
      </w:r>
      <w:r w:rsidR="00EF2E89" w:rsidRPr="00BE67B5">
        <w:rPr>
          <w:rFonts w:cs="Times New Roman"/>
          <w:szCs w:val="24"/>
        </w:rPr>
        <w:t>arrests. Desistance</w:t>
      </w:r>
      <w:r w:rsidR="00D954B1" w:rsidRPr="00BE67B5">
        <w:rPr>
          <w:rFonts w:cs="Times New Roman"/>
          <w:szCs w:val="24"/>
        </w:rPr>
        <w:t xml:space="preserve"> and recidivism provide insights to probation and parole agencies interested in various activities after prisoner release. </w:t>
      </w:r>
    </w:p>
    <w:p w:rsidR="00D954B1" w:rsidRPr="00BE67B5" w:rsidRDefault="00122F4F" w:rsidP="00B5218E">
      <w:pPr>
        <w:ind w:firstLine="0"/>
        <w:jc w:val="left"/>
        <w:rPr>
          <w:rFonts w:cs="Times New Roman"/>
          <w:szCs w:val="24"/>
        </w:rPr>
      </w:pPr>
      <w:r w:rsidRPr="00BE67B5">
        <w:rPr>
          <w:rFonts w:cs="Times New Roman"/>
          <w:szCs w:val="24"/>
        </w:rPr>
        <w:t xml:space="preserve"> As the data suggest, </w:t>
      </w:r>
      <w:r w:rsidR="00EF2E89" w:rsidRPr="00BE67B5">
        <w:rPr>
          <w:rFonts w:cs="Times New Roman"/>
          <w:szCs w:val="24"/>
        </w:rPr>
        <w:t>there</w:t>
      </w:r>
      <w:r w:rsidRPr="00BE67B5">
        <w:rPr>
          <w:rFonts w:cs="Times New Roman"/>
          <w:szCs w:val="24"/>
        </w:rPr>
        <w:t xml:space="preserve"> was an increase of 15 percentage points during the extended </w:t>
      </w:r>
      <w:r w:rsidR="00EF2E89" w:rsidRPr="00BE67B5">
        <w:rPr>
          <w:rFonts w:cs="Times New Roman"/>
          <w:szCs w:val="24"/>
        </w:rPr>
        <w:t>follow-up</w:t>
      </w:r>
      <w:r w:rsidRPr="00BE67B5">
        <w:rPr>
          <w:rFonts w:cs="Times New Roman"/>
          <w:szCs w:val="24"/>
        </w:rPr>
        <w:t xml:space="preserve"> period of 9 </w:t>
      </w:r>
      <w:r w:rsidR="00EF2E89" w:rsidRPr="00BE67B5">
        <w:rPr>
          <w:rFonts w:cs="Times New Roman"/>
          <w:szCs w:val="24"/>
        </w:rPr>
        <w:t>years. Within</w:t>
      </w:r>
      <w:r w:rsidR="00FB06C2" w:rsidRPr="00BE67B5">
        <w:rPr>
          <w:rFonts w:cs="Times New Roman"/>
          <w:szCs w:val="24"/>
        </w:rPr>
        <w:t xml:space="preserve"> the first three years of the </w:t>
      </w:r>
      <w:r w:rsidR="00EF2E89" w:rsidRPr="00BE67B5">
        <w:rPr>
          <w:rFonts w:cs="Times New Roman"/>
          <w:szCs w:val="24"/>
        </w:rPr>
        <w:t>release, 68</w:t>
      </w:r>
      <w:r w:rsidR="00FB06C2" w:rsidRPr="00BE67B5">
        <w:rPr>
          <w:rFonts w:cs="Times New Roman"/>
          <w:szCs w:val="24"/>
        </w:rPr>
        <w:t xml:space="preserve"> percent of prisoners </w:t>
      </w:r>
      <w:r w:rsidR="00EF2E89" w:rsidRPr="00BE67B5">
        <w:rPr>
          <w:rFonts w:cs="Times New Roman"/>
          <w:szCs w:val="24"/>
        </w:rPr>
        <w:t>had</w:t>
      </w:r>
      <w:r w:rsidR="00FB06C2" w:rsidRPr="00BE67B5">
        <w:rPr>
          <w:rFonts w:cs="Times New Roman"/>
          <w:szCs w:val="24"/>
        </w:rPr>
        <w:t xml:space="preserve"> been arrested due to </w:t>
      </w:r>
      <w:r w:rsidR="00EF2E89" w:rsidRPr="00BE67B5">
        <w:rPr>
          <w:rFonts w:cs="Times New Roman"/>
          <w:szCs w:val="24"/>
        </w:rPr>
        <w:t>committing</w:t>
      </w:r>
      <w:r w:rsidR="00FB06C2" w:rsidRPr="00BE67B5">
        <w:rPr>
          <w:rFonts w:cs="Times New Roman"/>
          <w:szCs w:val="24"/>
        </w:rPr>
        <w:t xml:space="preserve"> new </w:t>
      </w:r>
      <w:r w:rsidR="00EF2E89" w:rsidRPr="00BE67B5">
        <w:rPr>
          <w:rFonts w:cs="Times New Roman"/>
          <w:szCs w:val="24"/>
        </w:rPr>
        <w:t>crimes. Also</w:t>
      </w:r>
      <w:r w:rsidR="00FB06C2" w:rsidRPr="00BE67B5">
        <w:rPr>
          <w:rFonts w:cs="Times New Roman"/>
          <w:szCs w:val="24"/>
        </w:rPr>
        <w:t xml:space="preserve">, the prisoners arrested after six years following release accumulated to 79 </w:t>
      </w:r>
      <w:r w:rsidR="00EF2E89" w:rsidRPr="00BE67B5">
        <w:rPr>
          <w:rFonts w:cs="Times New Roman"/>
          <w:szCs w:val="24"/>
        </w:rPr>
        <w:t>percent. Thus</w:t>
      </w:r>
      <w:r w:rsidR="00FB06C2" w:rsidRPr="00BE67B5">
        <w:rPr>
          <w:rFonts w:cs="Times New Roman"/>
          <w:szCs w:val="24"/>
        </w:rPr>
        <w:t xml:space="preserve"> the cumulative outside the state arrest percentage doubled as a result of the extended follow-up </w:t>
      </w:r>
      <w:r w:rsidR="00EF2E89" w:rsidRPr="00BE67B5">
        <w:rPr>
          <w:rFonts w:cs="Times New Roman"/>
          <w:szCs w:val="24"/>
        </w:rPr>
        <w:t>period. After</w:t>
      </w:r>
      <w:r w:rsidR="00FB06C2" w:rsidRPr="00BE67B5">
        <w:rPr>
          <w:rFonts w:cs="Times New Roman"/>
          <w:szCs w:val="24"/>
        </w:rPr>
        <w:t xml:space="preserve"> only three years following the release, 7.7 percent of released </w:t>
      </w:r>
      <w:r w:rsidR="000620FF" w:rsidRPr="00BE67B5">
        <w:rPr>
          <w:rFonts w:cs="Times New Roman"/>
          <w:szCs w:val="24"/>
        </w:rPr>
        <w:t>convicts</w:t>
      </w:r>
      <w:r w:rsidR="00FB06C2" w:rsidRPr="00BE67B5">
        <w:rPr>
          <w:rFonts w:cs="Times New Roman"/>
          <w:szCs w:val="24"/>
        </w:rPr>
        <w:t xml:space="preserve"> had been </w:t>
      </w:r>
      <w:r w:rsidR="000620FF" w:rsidRPr="00BE67B5">
        <w:rPr>
          <w:rFonts w:cs="Times New Roman"/>
          <w:szCs w:val="24"/>
        </w:rPr>
        <w:t>detained</w:t>
      </w:r>
      <w:r w:rsidR="00FB06C2" w:rsidRPr="00BE67B5">
        <w:rPr>
          <w:rFonts w:cs="Times New Roman"/>
          <w:szCs w:val="24"/>
        </w:rPr>
        <w:t xml:space="preserve"> outside the state of release, and the level increased to 15.4 percent in 9 years. </w:t>
      </w:r>
    </w:p>
    <w:p w:rsidR="00FB06C2" w:rsidRPr="00BE67B5" w:rsidRDefault="00122F4F" w:rsidP="00B5218E">
      <w:pPr>
        <w:ind w:firstLine="0"/>
        <w:jc w:val="left"/>
        <w:rPr>
          <w:rFonts w:cs="Times New Roman"/>
          <w:szCs w:val="24"/>
        </w:rPr>
      </w:pPr>
      <w:r w:rsidRPr="00BE67B5">
        <w:rPr>
          <w:rFonts w:cs="Times New Roman"/>
          <w:szCs w:val="24"/>
        </w:rPr>
        <w:t xml:space="preserve"> As a result of the extended follow-up periods, </w:t>
      </w:r>
      <w:r w:rsidR="00E54724" w:rsidRPr="00BE67B5">
        <w:rPr>
          <w:rFonts w:cs="Times New Roman"/>
          <w:szCs w:val="24"/>
        </w:rPr>
        <w:t xml:space="preserve">there is a substantial decrease in apparent desistance as 32 percent of the released prisoners desisted themselves from criminal activities compared to 21 percent within six </w:t>
      </w:r>
      <w:r w:rsidR="00EF2E89" w:rsidRPr="00BE67B5">
        <w:rPr>
          <w:rFonts w:cs="Times New Roman"/>
          <w:szCs w:val="24"/>
        </w:rPr>
        <w:t>years. Besides</w:t>
      </w:r>
      <w:r w:rsidR="00E54724" w:rsidRPr="00BE67B5">
        <w:rPr>
          <w:rFonts w:cs="Times New Roman"/>
          <w:szCs w:val="24"/>
        </w:rPr>
        <w:t>, there is a decrease of 17 percent of prisoner's new arrest following release, implying that about half the prisoners with no arrest after the first three years of release got arrested within the third and 9</w:t>
      </w:r>
      <w:r w:rsidR="00E54724" w:rsidRPr="00BE67B5">
        <w:rPr>
          <w:rFonts w:cs="Times New Roman"/>
          <w:szCs w:val="24"/>
          <w:vertAlign w:val="superscript"/>
        </w:rPr>
        <w:t>th</w:t>
      </w:r>
      <w:r w:rsidR="00E54724" w:rsidRPr="00BE67B5">
        <w:rPr>
          <w:rFonts w:cs="Times New Roman"/>
          <w:szCs w:val="24"/>
        </w:rPr>
        <w:t xml:space="preserve"> year of </w:t>
      </w:r>
      <w:r w:rsidR="000620FF" w:rsidRPr="00BE67B5">
        <w:rPr>
          <w:rFonts w:cs="Times New Roman"/>
          <w:szCs w:val="24"/>
        </w:rPr>
        <w:t>release.</w:t>
      </w:r>
      <w:r w:rsidR="00EF2E89" w:rsidRPr="00BE67B5">
        <w:rPr>
          <w:rFonts w:cs="Times New Roman"/>
          <w:szCs w:val="24"/>
        </w:rPr>
        <w:t xml:space="preserve"> The data indicate that the annual arrest percentage of prisoners released in 30 states indicates that younger and male prisoners were likely to be arrested in the first year following the release than older and female prisoners; however, 40 percent of released prisoners were not arrested after five years following their release.</w:t>
      </w:r>
    </w:p>
    <w:p w:rsidR="000620FF" w:rsidRPr="00BE67B5" w:rsidRDefault="000620FF" w:rsidP="00B5218E">
      <w:pPr>
        <w:ind w:firstLine="0"/>
        <w:jc w:val="left"/>
        <w:rPr>
          <w:rFonts w:cs="Times New Roman"/>
          <w:szCs w:val="24"/>
        </w:rPr>
      </w:pPr>
    </w:p>
    <w:p w:rsidR="000620FF" w:rsidRPr="00BE67B5" w:rsidRDefault="000620FF" w:rsidP="00B5218E">
      <w:pPr>
        <w:ind w:firstLine="0"/>
        <w:jc w:val="left"/>
        <w:rPr>
          <w:rFonts w:cs="Times New Roman"/>
          <w:szCs w:val="24"/>
        </w:rPr>
      </w:pPr>
    </w:p>
    <w:p w:rsidR="000620FF" w:rsidRPr="00BE67B5" w:rsidRDefault="000620FF" w:rsidP="00B5218E">
      <w:pPr>
        <w:ind w:firstLine="0"/>
        <w:jc w:val="left"/>
        <w:rPr>
          <w:rFonts w:cs="Times New Roman"/>
          <w:szCs w:val="24"/>
        </w:rPr>
      </w:pPr>
    </w:p>
    <w:p w:rsidR="000620FF" w:rsidRPr="00BE67B5" w:rsidRDefault="000620FF" w:rsidP="00B5218E">
      <w:pPr>
        <w:ind w:firstLine="0"/>
        <w:jc w:val="left"/>
        <w:rPr>
          <w:rFonts w:cs="Times New Roman"/>
          <w:szCs w:val="24"/>
        </w:rPr>
      </w:pPr>
    </w:p>
    <w:p w:rsidR="000620FF" w:rsidRPr="00BE67B5" w:rsidRDefault="000620FF" w:rsidP="00B5218E">
      <w:pPr>
        <w:ind w:firstLine="0"/>
        <w:jc w:val="left"/>
        <w:rPr>
          <w:rFonts w:cs="Times New Roman"/>
          <w:szCs w:val="24"/>
        </w:rPr>
      </w:pPr>
    </w:p>
    <w:p w:rsidR="000620FF" w:rsidRPr="00BE67B5" w:rsidRDefault="000620FF" w:rsidP="00B5218E">
      <w:pPr>
        <w:ind w:firstLine="0"/>
        <w:jc w:val="left"/>
        <w:rPr>
          <w:rFonts w:cs="Times New Roman"/>
          <w:szCs w:val="24"/>
        </w:rPr>
      </w:pPr>
    </w:p>
    <w:p w:rsidR="000620FF" w:rsidRPr="00BE67B5" w:rsidRDefault="000620FF" w:rsidP="00B5218E">
      <w:pPr>
        <w:ind w:firstLine="0"/>
        <w:jc w:val="left"/>
        <w:rPr>
          <w:rFonts w:cs="Times New Roman"/>
          <w:szCs w:val="24"/>
        </w:rPr>
      </w:pPr>
    </w:p>
    <w:p w:rsidR="000620FF" w:rsidRPr="00BE67B5" w:rsidRDefault="000620FF" w:rsidP="00B5218E">
      <w:pPr>
        <w:ind w:firstLine="0"/>
        <w:jc w:val="left"/>
        <w:rPr>
          <w:rFonts w:cs="Times New Roman"/>
          <w:szCs w:val="24"/>
        </w:rPr>
      </w:pPr>
    </w:p>
    <w:p w:rsidR="000620FF" w:rsidRPr="00BE67B5" w:rsidRDefault="000620FF" w:rsidP="00B5218E">
      <w:pPr>
        <w:ind w:firstLine="0"/>
        <w:jc w:val="left"/>
        <w:rPr>
          <w:rFonts w:cs="Times New Roman"/>
          <w:szCs w:val="24"/>
        </w:rPr>
      </w:pPr>
    </w:p>
    <w:p w:rsidR="000620FF" w:rsidRPr="00BE67B5" w:rsidRDefault="000620FF" w:rsidP="00B5218E">
      <w:pPr>
        <w:ind w:firstLine="0"/>
        <w:jc w:val="left"/>
        <w:rPr>
          <w:rFonts w:cs="Times New Roman"/>
          <w:szCs w:val="24"/>
        </w:rPr>
      </w:pPr>
    </w:p>
    <w:p w:rsidR="000620FF" w:rsidRPr="00BE67B5" w:rsidRDefault="000620FF" w:rsidP="00B5218E">
      <w:pPr>
        <w:ind w:firstLine="0"/>
        <w:jc w:val="left"/>
        <w:rPr>
          <w:rFonts w:cs="Times New Roman"/>
          <w:szCs w:val="24"/>
        </w:rPr>
      </w:pPr>
    </w:p>
    <w:p w:rsidR="000620FF" w:rsidRPr="00BE67B5" w:rsidRDefault="000620FF" w:rsidP="00B5218E">
      <w:pPr>
        <w:ind w:firstLine="0"/>
        <w:jc w:val="left"/>
        <w:rPr>
          <w:rFonts w:cs="Times New Roman"/>
          <w:szCs w:val="24"/>
        </w:rPr>
      </w:pPr>
    </w:p>
    <w:p w:rsidR="000620FF" w:rsidRPr="00BE67B5" w:rsidRDefault="000620FF" w:rsidP="00B5218E">
      <w:pPr>
        <w:ind w:firstLine="0"/>
        <w:jc w:val="left"/>
        <w:rPr>
          <w:rFonts w:cs="Times New Roman"/>
          <w:szCs w:val="24"/>
        </w:rPr>
      </w:pPr>
    </w:p>
    <w:p w:rsidR="000620FF" w:rsidRPr="00BE67B5" w:rsidRDefault="000620FF" w:rsidP="00B5218E">
      <w:pPr>
        <w:ind w:firstLine="0"/>
        <w:jc w:val="left"/>
        <w:rPr>
          <w:rFonts w:cs="Times New Roman"/>
          <w:szCs w:val="24"/>
        </w:rPr>
      </w:pPr>
    </w:p>
    <w:p w:rsidR="000620FF" w:rsidRPr="00BE67B5" w:rsidRDefault="000620FF" w:rsidP="00B5218E">
      <w:pPr>
        <w:ind w:firstLine="0"/>
        <w:jc w:val="left"/>
        <w:rPr>
          <w:rFonts w:cs="Times New Roman"/>
          <w:szCs w:val="24"/>
        </w:rPr>
      </w:pPr>
    </w:p>
    <w:p w:rsidR="000620FF" w:rsidRPr="00BE67B5" w:rsidRDefault="000620FF" w:rsidP="00B5218E">
      <w:pPr>
        <w:ind w:firstLine="0"/>
        <w:jc w:val="left"/>
        <w:rPr>
          <w:rFonts w:cs="Times New Roman"/>
          <w:szCs w:val="24"/>
        </w:rPr>
      </w:pPr>
    </w:p>
    <w:p w:rsidR="000620FF" w:rsidRPr="00BE67B5" w:rsidRDefault="000620FF" w:rsidP="00B5218E">
      <w:pPr>
        <w:ind w:firstLine="0"/>
        <w:jc w:val="left"/>
        <w:rPr>
          <w:rFonts w:cs="Times New Roman"/>
          <w:szCs w:val="24"/>
        </w:rPr>
      </w:pPr>
    </w:p>
    <w:p w:rsidR="00BE67B5" w:rsidRPr="00BE67B5" w:rsidRDefault="00BE67B5" w:rsidP="00BE67B5">
      <w:pPr>
        <w:shd w:val="clear" w:color="auto" w:fill="FFFFFF"/>
        <w:spacing w:after="0" w:line="240" w:lineRule="auto"/>
        <w:ind w:firstLine="0"/>
        <w:rPr>
          <w:rFonts w:eastAsia="Times New Roman" w:cs="Times New Roman"/>
          <w:color w:val="000000"/>
          <w:szCs w:val="24"/>
        </w:rPr>
      </w:pPr>
      <w:r w:rsidRPr="00BE67B5">
        <w:rPr>
          <w:rFonts w:eastAsia="Times New Roman" w:cs="Times New Roman"/>
          <w:color w:val="000000"/>
          <w:szCs w:val="24"/>
        </w:rPr>
        <w:t>References</w:t>
      </w:r>
    </w:p>
    <w:p w:rsidR="00BE67B5" w:rsidRPr="00BE67B5" w:rsidRDefault="00BE67B5" w:rsidP="00BE67B5">
      <w:pPr>
        <w:shd w:val="clear" w:color="auto" w:fill="FFFFFF"/>
        <w:spacing w:after="0" w:line="550" w:lineRule="atLeast"/>
        <w:ind w:left="720" w:right="75" w:hanging="720"/>
        <w:jc w:val="left"/>
        <w:rPr>
          <w:rFonts w:eastAsia="Times New Roman" w:cs="Times New Roman"/>
          <w:color w:val="000000"/>
          <w:szCs w:val="24"/>
        </w:rPr>
      </w:pPr>
      <w:r w:rsidRPr="00BE67B5">
        <w:rPr>
          <w:rFonts w:eastAsia="Times New Roman" w:cs="Times New Roman"/>
          <w:color w:val="000000"/>
          <w:szCs w:val="24"/>
        </w:rPr>
        <w:t>(n.d.). Bureau of Justice Statistics (BJS). </w:t>
      </w:r>
      <w:hyperlink r:id="rId6" w:history="1">
        <w:r w:rsidRPr="00BE67B5">
          <w:rPr>
            <w:rFonts w:eastAsia="Times New Roman" w:cs="Times New Roman"/>
            <w:color w:val="000000"/>
            <w:szCs w:val="24"/>
          </w:rPr>
          <w:t>https://www.bjs.gov/content/pub/pdf/18upr9yfup0514.pdf</w:t>
        </w:r>
      </w:hyperlink>
    </w:p>
    <w:p w:rsidR="000620FF" w:rsidRPr="00BE67B5" w:rsidRDefault="000620FF" w:rsidP="00BE67B5">
      <w:pPr>
        <w:shd w:val="clear" w:color="auto" w:fill="FFFFFF"/>
        <w:spacing w:after="0" w:line="240" w:lineRule="auto"/>
        <w:ind w:firstLine="0"/>
        <w:jc w:val="both"/>
        <w:rPr>
          <w:rFonts w:eastAsia="Times New Roman" w:cs="Times New Roman"/>
          <w:szCs w:val="24"/>
        </w:rPr>
      </w:pPr>
    </w:p>
    <w:sectPr w:rsidR="000620FF" w:rsidRPr="00BE67B5">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122F4F" w:rsidRDefault="00122F4F">
      <w:pPr>
        <w:spacing w:after="0" w:line="240" w:lineRule="auto"/>
      </w:pPr>
      <w:r>
        <w:separator/>
      </w:r>
    </w:p>
  </w:endnote>
  <w:endnote w:type="continuationSeparator" w:id="0">
    <w:p w:rsidR="00122F4F" w:rsidRDefault="00122F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122F4F" w:rsidRDefault="00122F4F">
      <w:pPr>
        <w:spacing w:after="0" w:line="240" w:lineRule="auto"/>
      </w:pPr>
      <w:r>
        <w:separator/>
      </w:r>
    </w:p>
  </w:footnote>
  <w:footnote w:type="continuationSeparator" w:id="0">
    <w:p w:rsidR="00122F4F" w:rsidRDefault="00122F4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492338808"/>
      <w:docPartObj>
        <w:docPartGallery w:val="Page Numbers (Top of Page)"/>
        <w:docPartUnique/>
      </w:docPartObj>
    </w:sdtPr>
    <w:sdtEndPr>
      <w:rPr>
        <w:noProof/>
      </w:rPr>
    </w:sdtEndPr>
    <w:sdtContent>
      <w:p w:rsidR="00B5218E" w:rsidRDefault="00122F4F">
        <w:pPr>
          <w:pStyle w:val="Header"/>
          <w:jc w:val="right"/>
        </w:pPr>
        <w:r>
          <w:fldChar w:fldCharType="begin"/>
        </w:r>
        <w:r>
          <w:instrText xml:space="preserve"> PAGE   \* MERGEFORMAT </w:instrText>
        </w:r>
        <w:r>
          <w:fldChar w:fldCharType="separate"/>
        </w:r>
        <w:r w:rsidR="00BE67B5">
          <w:rPr>
            <w:noProof/>
          </w:rPr>
          <w:t>3</w:t>
        </w:r>
        <w:r>
          <w:rPr>
            <w:noProof/>
          </w:rPr>
          <w:fldChar w:fldCharType="end"/>
        </w:r>
      </w:p>
    </w:sdtContent>
  </w:sdt>
  <w:p w:rsidR="00B5218E" w:rsidRDefault="00B5218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web"/>
  <w:zoom w:percent="40"/>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5218E"/>
    <w:rsid w:val="000007A3"/>
    <w:rsid w:val="000313F4"/>
    <w:rsid w:val="000620FF"/>
    <w:rsid w:val="00122F4F"/>
    <w:rsid w:val="003D4D2A"/>
    <w:rsid w:val="00566088"/>
    <w:rsid w:val="0072288F"/>
    <w:rsid w:val="00756A35"/>
    <w:rsid w:val="00901A4A"/>
    <w:rsid w:val="00961491"/>
    <w:rsid w:val="00AD7547"/>
    <w:rsid w:val="00B5218E"/>
    <w:rsid w:val="00BE67B5"/>
    <w:rsid w:val="00C7143D"/>
    <w:rsid w:val="00C918D7"/>
    <w:rsid w:val="00D954B1"/>
    <w:rsid w:val="00E54724"/>
    <w:rsid w:val="00EF2E89"/>
    <w:rsid w:val="00FB06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4187474-3336-4587-A15F-C961BB378F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heme="minorBidi"/>
        <w:sz w:val="24"/>
        <w:szCs w:val="22"/>
        <w:lang w:val="en-US" w:eastAsia="en-US" w:bidi="ar-SA"/>
      </w:rPr>
    </w:rPrDefault>
    <w:pPrDefault>
      <w:pPr>
        <w:spacing w:after="160" w:line="480" w:lineRule="auto"/>
        <w:ind w:firstLine="720"/>
        <w:jc w:val="cente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5218E"/>
    <w:pPr>
      <w:tabs>
        <w:tab w:val="center" w:pos="4680"/>
        <w:tab w:val="right" w:pos="9360"/>
      </w:tabs>
      <w:spacing w:after="0" w:line="240" w:lineRule="auto"/>
    </w:pPr>
  </w:style>
  <w:style w:type="character" w:customStyle="1" w:styleId="HeaderChar">
    <w:name w:val="Header Char"/>
    <w:basedOn w:val="DefaultParagraphFont"/>
    <w:link w:val="Header"/>
    <w:uiPriority w:val="99"/>
    <w:rsid w:val="00B5218E"/>
  </w:style>
  <w:style w:type="paragraph" w:styleId="Footer">
    <w:name w:val="footer"/>
    <w:basedOn w:val="Normal"/>
    <w:link w:val="FooterChar"/>
    <w:uiPriority w:val="99"/>
    <w:unhideWhenUsed/>
    <w:rsid w:val="00B5218E"/>
    <w:pPr>
      <w:tabs>
        <w:tab w:val="center" w:pos="4680"/>
        <w:tab w:val="right" w:pos="9360"/>
      </w:tabs>
      <w:spacing w:after="0" w:line="240" w:lineRule="auto"/>
    </w:pPr>
  </w:style>
  <w:style w:type="character" w:customStyle="1" w:styleId="FooterChar">
    <w:name w:val="Footer Char"/>
    <w:basedOn w:val="DefaultParagraphFont"/>
    <w:link w:val="Footer"/>
    <w:uiPriority w:val="99"/>
    <w:rsid w:val="00B5218E"/>
  </w:style>
  <w:style w:type="paragraph" w:styleId="NormalWeb">
    <w:name w:val="Normal (Web)"/>
    <w:basedOn w:val="Normal"/>
    <w:uiPriority w:val="99"/>
    <w:semiHidden/>
    <w:unhideWhenUsed/>
    <w:rsid w:val="000620FF"/>
    <w:pPr>
      <w:spacing w:before="100" w:beforeAutospacing="1" w:after="100" w:afterAutospacing="1" w:line="240" w:lineRule="auto"/>
      <w:ind w:firstLine="0"/>
      <w:jc w:val="left"/>
    </w:pPr>
    <w:rPr>
      <w:rFonts w:eastAsia="Times New Roman" w:cs="Times New Roman"/>
      <w:szCs w:val="24"/>
    </w:rPr>
  </w:style>
  <w:style w:type="character" w:styleId="Hyperlink">
    <w:name w:val="Hyperlink"/>
    <w:basedOn w:val="DefaultParagraphFont"/>
    <w:uiPriority w:val="99"/>
    <w:semiHidden/>
    <w:unhideWhenUsed/>
    <w:rsid w:val="000620F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51783301">
      <w:bodyDiv w:val="1"/>
      <w:marLeft w:val="0"/>
      <w:marRight w:val="0"/>
      <w:marTop w:val="0"/>
      <w:marBottom w:val="0"/>
      <w:divBdr>
        <w:top w:val="none" w:sz="0" w:space="0" w:color="auto"/>
        <w:left w:val="none" w:sz="0" w:space="0" w:color="auto"/>
        <w:bottom w:val="none" w:sz="0" w:space="0" w:color="auto"/>
        <w:right w:val="none" w:sz="0" w:space="0" w:color="auto"/>
      </w:divBdr>
    </w:div>
    <w:div w:id="949975925">
      <w:bodyDiv w:val="1"/>
      <w:marLeft w:val="0"/>
      <w:marRight w:val="0"/>
      <w:marTop w:val="0"/>
      <w:marBottom w:val="0"/>
      <w:divBdr>
        <w:top w:val="none" w:sz="0" w:space="0" w:color="auto"/>
        <w:left w:val="none" w:sz="0" w:space="0" w:color="auto"/>
        <w:bottom w:val="none" w:sz="0" w:space="0" w:color="auto"/>
        <w:right w:val="none" w:sz="0" w:space="0" w:color="auto"/>
      </w:divBdr>
    </w:div>
    <w:div w:id="12236338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 /><Relationship Id="rId3" Type="http://schemas.openxmlformats.org/officeDocument/2006/relationships/webSettings" Target="webSettings.xml" /><Relationship Id="rId7" Type="http://schemas.openxmlformats.org/officeDocument/2006/relationships/header" Target="header1.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yperlink" Target="https://www.bjs.gov/content/pub/pdf/18upr9yfup0514.pdf" TargetMode="External" /><Relationship Id="rId5" Type="http://schemas.openxmlformats.org/officeDocument/2006/relationships/endnotes" Target="endnotes.xml" /><Relationship Id="rId4" Type="http://schemas.openxmlformats.org/officeDocument/2006/relationships/footnotes" Target="footnotes.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353</Words>
  <Characters>2017</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SATELITE</dc:creator>
  <cp:lastModifiedBy>nyoike31@gmail.com</cp:lastModifiedBy>
  <cp:revision>2</cp:revision>
  <dcterms:created xsi:type="dcterms:W3CDTF">2020-10-19T06:15:00Z</dcterms:created>
  <dcterms:modified xsi:type="dcterms:W3CDTF">2020-10-19T06:15:00Z</dcterms:modified>
</cp:coreProperties>
</file>